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  <w:jc w:val="center"/>
      </w:pPr>
      <w:r>
        <w:rPr>
          <w:b/>
          <w:bCs/>
          <w:caps/>
          <w:color w:val="1F3864"/>
          <w:sz w:val="22"/>
          <w:szCs w:val="22"/>
        </w:rPr>
        <w:t xml:space="preserve">PROSPECTO: INFORMACIÓN PARA EL USUARIO</w:t>
      </w:r>
    </w:p>
    <w:p>
      <w:pPr>
        <w:spacing w:after="100" w:before="200"/>
        <w:jc w:val="center"/>
      </w:pPr>
      <w:r>
        <w:rPr>
          <w:b/>
          <w:bCs/>
          <w:color w:val="1F3864"/>
          <w:sz w:val="40"/>
          <w:szCs w:val="40"/>
        </w:rPr>
        <w:t xml:space="preserve">JABÓN QUIRÚRGICO PARACELSO</w:t>
      </w:r>
    </w:p>
    <w:p>
      <w:pPr>
        <w:pBdr>
          <w:bottom w:val="single" w:color="2E5395" w:sz="8" w:space="8"/>
        </w:pBdr>
        <w:spacing w:after="100"/>
      </w:pPr>
    </w:p>
    <w:p>
      <w:pPr>
        <w:spacing w:after="120" w:before="260"/>
      </w:pPr>
      <w:r>
        <w:rPr>
          <w:i/>
          <w:iCs/>
          <w:color w:val="404040"/>
          <w:sz w:val="21"/>
          <w:szCs w:val="21"/>
        </w:rPr>
        <w:t xml:space="preserve">Lea todo el prospecto detenidamente antes de empezar a usar este medicamento, porque contiene información importante para usted.</w:t>
      </w:r>
    </w:p>
    <w:p>
      <w:pPr>
        <w:spacing w:after="160" w:line="300"/>
        <w:jc w:val="both"/>
      </w:pPr>
      <w:r>
        <w:rPr>
          <w:color w:val="404040"/>
          <w:sz w:val="21"/>
          <w:szCs w:val="21"/>
        </w:rPr>
        <w:t xml:space="preserve">Siga exactamente las instrucciones de administración del medicamento contenidas en este prospecto o las indicadas por su médico, farmacéutico o enfermero.</w:t>
      </w:r>
    </w:p>
    <w:p>
      <w:pPr>
        <w:spacing w:after="90"/>
        <w:ind w:left="360"/>
      </w:pPr>
      <w:r>
        <w:rPr>
          <w:color w:val="2E5395"/>
          <w:sz w:val="21"/>
          <w:szCs w:val="21"/>
        </w:rPr>
        <w:t xml:space="preserve">•  </w:t>
      </w:r>
      <w:r>
        <w:rPr>
          <w:color w:val="404040"/>
          <w:sz w:val="21"/>
          <w:szCs w:val="21"/>
        </w:rPr>
        <w:t xml:space="preserve">Conserve este prospecto, ya que puede tener que volver a leerlo.</w:t>
      </w:r>
    </w:p>
    <w:p>
      <w:pPr>
        <w:spacing w:after="90"/>
        <w:ind w:left="360"/>
      </w:pPr>
      <w:r>
        <w:rPr>
          <w:color w:val="2E5395"/>
          <w:sz w:val="21"/>
          <w:szCs w:val="21"/>
        </w:rPr>
        <w:t xml:space="preserve">•  </w:t>
      </w:r>
      <w:r>
        <w:rPr>
          <w:color w:val="404040"/>
          <w:sz w:val="21"/>
          <w:szCs w:val="21"/>
        </w:rPr>
        <w:t xml:space="preserve">Si necesita consejo o más información, consulte a su farmacéutico.</w:t>
      </w:r>
    </w:p>
    <w:p>
      <w:pPr>
        <w:spacing w:after="90"/>
        <w:ind w:left="360"/>
      </w:pPr>
      <w:r>
        <w:rPr>
          <w:color w:val="2E5395"/>
          <w:sz w:val="21"/>
          <w:szCs w:val="21"/>
        </w:rPr>
        <w:t xml:space="preserve">•  </w:t>
      </w:r>
      <w:r>
        <w:rPr>
          <w:color w:val="404040"/>
          <w:sz w:val="21"/>
          <w:szCs w:val="21"/>
        </w:rPr>
        <w:t xml:space="preserve">Si experimenta efectos adversos, consulte a su médico, farmacéutico o enfermero, incluso si se trata de efectos adversos que no aparecen en este prospecto.</w:t>
      </w:r>
    </w:p>
    <w:p>
      <w:pPr>
        <w:spacing w:after="90"/>
        <w:ind w:left="360"/>
      </w:pPr>
      <w:r>
        <w:rPr>
          <w:color w:val="2E5395"/>
          <w:sz w:val="21"/>
          <w:szCs w:val="21"/>
        </w:rPr>
        <w:t xml:space="preserve">•  </w:t>
      </w:r>
      <w:r>
        <w:rPr>
          <w:color w:val="404040"/>
          <w:sz w:val="21"/>
          <w:szCs w:val="21"/>
        </w:rPr>
        <w:t xml:space="preserve">Debe consultar a un médico si empeora o si no mejora.</w:t>
      </w:r>
    </w:p>
    <w:p>
      <w:pPr>
        <w:pBdr>
          <w:bottom w:val="single" w:color="2E5395" w:sz="6" w:space="4"/>
        </w:pBdr>
        <w:spacing w:after="140" w:before="320"/>
      </w:pPr>
      <w:r>
        <w:rPr>
          <w:b/>
          <w:bCs/>
          <w:color w:val="2E5395"/>
          <w:sz w:val="24"/>
          <w:szCs w:val="24"/>
        </w:rPr>
        <w:t xml:space="preserve">1. </w:t>
      </w:r>
      <w:r>
        <w:rPr>
          <w:b/>
          <w:bCs/>
          <w:color w:val="1F3864"/>
          <w:sz w:val="24"/>
          <w:szCs w:val="24"/>
        </w:rPr>
        <w:t xml:space="preserve">¿Qué es Jabón Quirúrgico Paracelso y para qué se utiliza? Acción farmacológica</w:t>
      </w:r>
    </w:p>
    <w:p>
      <w:pPr>
        <w:spacing w:after="160" w:line="300"/>
        <w:jc w:val="both"/>
      </w:pPr>
      <w:r>
        <w:rPr>
          <w:color w:val="404040"/>
          <w:sz w:val="21"/>
          <w:szCs w:val="21"/>
        </w:rPr>
        <w:t xml:space="preserve">La yodopovidona es un potente agente antiséptico con amplio espectro microbicida contra virus, bacterias y hongos. Se recomienda su uso sobre la piel y para la limpieza y desinfección de la misma; la yodopovidona se encuentra en el Jabón Quirúrgico Paracelso en una concentración del 10%.</w:t>
      </w:r>
    </w:p>
    <w:p>
      <w:pPr>
        <w:spacing w:after="100" w:before="120"/>
      </w:pPr>
      <w:r>
        <w:rPr>
          <w:b/>
          <w:bCs/>
          <w:i/>
          <w:iCs/>
          <w:color w:val="1F3864"/>
          <w:sz w:val="21"/>
          <w:szCs w:val="21"/>
        </w:rPr>
        <w:t xml:space="preserve">Acción farmacológica</w:t>
      </w:r>
    </w:p>
    <w:p>
      <w:pPr>
        <w:spacing w:after="160" w:line="300"/>
        <w:jc w:val="both"/>
      </w:pPr>
      <w:r>
        <w:rPr>
          <w:color w:val="404040"/>
          <w:sz w:val="21"/>
          <w:szCs w:val="21"/>
        </w:rPr>
        <w:t xml:space="preserve">Contiene yodo en una forma química orgánica, constituida por el yodo más el complejo polivinilpirrolidona (complejo PVP), conocido con el nombre de yodopovidona.</w:t>
      </w:r>
    </w:p>
    <w:p>
      <w:pPr>
        <w:spacing w:after="160" w:line="300"/>
        <w:jc w:val="both"/>
      </w:pPr>
      <w:r>
        <w:rPr>
          <w:color w:val="404040"/>
          <w:sz w:val="21"/>
          <w:szCs w:val="21"/>
        </w:rPr>
        <w:t xml:space="preserve">En este complejo, el yodo se libera adecuadamente para ejercer su efecto antiséptico con la ventaja de una mejor tolerancia. El yodo altera la pared celular de los microorganismos patógenos e interfiere, además, con la estructura del ADN, por lo que ejerce una potente actividad microbicida sobre bacterias, virus, hongos y protozoos.</w:t>
      </w:r>
    </w:p>
    <w:p>
      <w:pPr>
        <w:pBdr>
          <w:bottom w:val="single" w:color="2E5395" w:sz="6" w:space="4"/>
        </w:pBdr>
        <w:spacing w:after="140" w:before="320"/>
      </w:pPr>
      <w:r>
        <w:rPr>
          <w:b/>
          <w:bCs/>
          <w:color w:val="2E5395"/>
          <w:sz w:val="24"/>
          <w:szCs w:val="24"/>
        </w:rPr>
        <w:t xml:space="preserve">2. </w:t>
      </w:r>
      <w:r>
        <w:rPr>
          <w:b/>
          <w:bCs/>
          <w:color w:val="1F3864"/>
          <w:sz w:val="24"/>
          <w:szCs w:val="24"/>
        </w:rPr>
        <w:t xml:space="preserve">Composición del producto</w:t>
      </w:r>
    </w:p>
    <w:p>
      <w:pPr>
        <w:spacing w:after="160" w:line="300"/>
        <w:jc w:val="both"/>
      </w:pPr>
      <w:r>
        <w:rPr>
          <w:color w:val="404040"/>
          <w:sz w:val="21"/>
          <w:szCs w:val="21"/>
        </w:rPr>
        <w:t xml:space="preserve">Cada 100 mL de producto contiene: 10% de yodopovidona, lauril éter sulfato, cloruro de sodio y agua purificada.</w:t>
      </w:r>
    </w:p>
    <w:p>
      <w:pPr>
        <w:pBdr>
          <w:bottom w:val="single" w:color="2E5395" w:sz="6" w:space="4"/>
        </w:pBdr>
        <w:spacing w:after="140" w:before="320"/>
      </w:pPr>
      <w:r>
        <w:rPr>
          <w:b/>
          <w:bCs/>
          <w:color w:val="2E5395"/>
          <w:sz w:val="24"/>
          <w:szCs w:val="24"/>
        </w:rPr>
        <w:t xml:space="preserve">3. </w:t>
      </w:r>
      <w:r>
        <w:rPr>
          <w:b/>
          <w:bCs/>
          <w:color w:val="1F3864"/>
          <w:sz w:val="24"/>
          <w:szCs w:val="24"/>
        </w:rPr>
        <w:t xml:space="preserve">Forma farmacéutica y contenido</w:t>
      </w:r>
    </w:p>
    <w:p>
      <w:pPr>
        <w:spacing w:after="160" w:line="300"/>
        <w:jc w:val="both"/>
      </w:pPr>
      <w:r>
        <w:rPr>
          <w:color w:val="404040"/>
          <w:sz w:val="21"/>
          <w:szCs w:val="21"/>
        </w:rPr>
        <w:t xml:space="preserve">Jabón Quirúrgico Paracelso es una solución jabonosa de uso tópico, de color ámbar oscuro y olor a yodo.</w:t>
      </w:r>
    </w:p>
    <w:p>
      <w:pPr>
        <w:spacing w:after="90"/>
        <w:ind w:left="360"/>
      </w:pPr>
      <w:r>
        <w:rPr>
          <w:color w:val="2E5395"/>
          <w:sz w:val="21"/>
          <w:szCs w:val="21"/>
        </w:rPr>
        <w:t xml:space="preserve">•  </w:t>
      </w:r>
      <w:r>
        <w:rPr>
          <w:color w:val="404040"/>
          <w:sz w:val="21"/>
          <w:szCs w:val="21"/>
        </w:rPr>
        <w:t xml:space="preserve">Sin dispensador: 60 mL, 100 mL, 120 mL, 250 mL, 500 mL y galón.</w:t>
      </w:r>
    </w:p>
    <w:p>
      <w:pPr>
        <w:spacing w:after="90"/>
        <w:ind w:left="360"/>
      </w:pPr>
      <w:r>
        <w:rPr>
          <w:color w:val="2E5395"/>
          <w:sz w:val="21"/>
          <w:szCs w:val="21"/>
        </w:rPr>
        <w:t xml:space="preserve">•  </w:t>
      </w:r>
      <w:r>
        <w:rPr>
          <w:color w:val="404040"/>
          <w:sz w:val="21"/>
          <w:szCs w:val="21"/>
        </w:rPr>
        <w:t xml:space="preserve">Con dispensador: 100 mL, 120 mL, 250 mL y 1 L.</w:t>
      </w:r>
    </w:p>
    <w:p>
      <w:pPr>
        <w:pBdr>
          <w:bottom w:val="single" w:color="2E5395" w:sz="6" w:space="4"/>
        </w:pBdr>
        <w:spacing w:after="140" w:before="320"/>
      </w:pPr>
      <w:r>
        <w:rPr>
          <w:b/>
          <w:bCs/>
          <w:color w:val="2E5395"/>
          <w:sz w:val="24"/>
          <w:szCs w:val="24"/>
        </w:rPr>
        <w:t xml:space="preserve">4. </w:t>
      </w:r>
      <w:r>
        <w:rPr>
          <w:b/>
          <w:bCs/>
          <w:color w:val="1F3864"/>
          <w:sz w:val="24"/>
          <w:szCs w:val="24"/>
        </w:rPr>
        <w:t xml:space="preserve">Indicaciones terapéuticas</w:t>
      </w:r>
    </w:p>
    <w:p>
      <w:pPr>
        <w:spacing w:after="160" w:line="300"/>
        <w:jc w:val="both"/>
      </w:pPr>
      <w:r>
        <w:rPr>
          <w:color w:val="404040"/>
          <w:sz w:val="21"/>
          <w:szCs w:val="21"/>
        </w:rPr>
        <w:t xml:space="preserve">Está indicado en el lavado prequirúrgico del personal de cirugía, en la antisepsia pre y posoperatoria, y en la asepsia de heridas, laceraciones e infecciones bacterianas y micóticas de la piel, cuero cabelludo y genitales.</w:t>
      </w:r>
    </w:p>
    <w:p>
      <w:pPr>
        <w:pBdr>
          <w:bottom w:val="single" w:color="2E5395" w:sz="6" w:space="4"/>
        </w:pBdr>
        <w:spacing w:after="140" w:before="320"/>
      </w:pPr>
      <w:r>
        <w:rPr>
          <w:b/>
          <w:bCs/>
          <w:color w:val="2E5395"/>
          <w:sz w:val="24"/>
          <w:szCs w:val="24"/>
        </w:rPr>
        <w:t xml:space="preserve">5. </w:t>
      </w:r>
      <w:r>
        <w:rPr>
          <w:b/>
          <w:bCs/>
          <w:color w:val="1F3864"/>
          <w:sz w:val="24"/>
          <w:szCs w:val="24"/>
        </w:rPr>
        <w:t xml:space="preserve">Indicaciones necesarias antes de usar el producto y precauciones</w:t>
      </w:r>
    </w:p>
    <w:p>
      <w:pPr>
        <w:spacing w:after="160" w:line="300"/>
        <w:jc w:val="both"/>
      </w:pPr>
      <w:r>
        <w:rPr>
          <w:color w:val="404040"/>
          <w:sz w:val="21"/>
          <w:szCs w:val="21"/>
        </w:rPr>
        <w:t xml:space="preserve">No usar Jabón Quirúrgico Paracelso si es alérgico a sus componentes.</w:t>
      </w:r>
    </w:p>
    <w:p>
      <w:pPr>
        <w:spacing w:after="100" w:before="120"/>
      </w:pPr>
      <w:r>
        <w:rPr>
          <w:b/>
          <w:bCs/>
          <w:i/>
          <w:iCs/>
          <w:color w:val="1F3864"/>
          <w:sz w:val="21"/>
          <w:szCs w:val="21"/>
        </w:rPr>
        <w:t xml:space="preserve">Precauciones</w:t>
      </w:r>
    </w:p>
    <w:p>
      <w:pPr>
        <w:spacing w:after="160" w:line="300"/>
        <w:jc w:val="both"/>
      </w:pPr>
      <w:r>
        <w:rPr>
          <w:color w:val="404040"/>
          <w:sz w:val="21"/>
          <w:szCs w:val="21"/>
        </w:rPr>
        <w:t xml:space="preserve">Se recomienda precaución con el uso prolongado en pacientes con heridas abiertas y extensas, así como en el uso prolongado en quemaduras. En caso de embarazo o lactancia, consultar con el médico o farmacéutico previo su uso.</w:t>
      </w:r>
    </w:p>
    <w:p>
      <w:pPr>
        <w:pBdr>
          <w:bottom w:val="single" w:color="2E5395" w:sz="6" w:space="4"/>
        </w:pBdr>
        <w:spacing w:after="140" w:before="320"/>
      </w:pPr>
      <w:r>
        <w:rPr>
          <w:b/>
          <w:bCs/>
          <w:color w:val="2E5395"/>
          <w:sz w:val="24"/>
          <w:szCs w:val="24"/>
        </w:rPr>
        <w:t xml:space="preserve">6. </w:t>
      </w:r>
      <w:r>
        <w:rPr>
          <w:b/>
          <w:bCs/>
          <w:color w:val="1F3864"/>
          <w:sz w:val="24"/>
          <w:szCs w:val="24"/>
        </w:rPr>
        <w:t xml:space="preserve">Modo de uso</w:t>
      </w:r>
    </w:p>
    <w:p>
      <w:pPr>
        <w:spacing w:after="160" w:line="300"/>
        <w:jc w:val="both"/>
      </w:pPr>
      <w:r>
        <w:rPr>
          <w:color w:val="404040"/>
          <w:sz w:val="21"/>
          <w:szCs w:val="21"/>
        </w:rPr>
        <w:t xml:space="preserve">Tome la cantidad suficiente de producto y frote la superficie a desinfectar; enjuague con abundante agua.</w:t>
      </w:r>
    </w:p>
    <w:p>
      <w:pPr>
        <w:spacing w:after="160" w:line="300"/>
        <w:jc w:val="both"/>
      </w:pPr>
      <w:r>
        <w:rPr>
          <w:color w:val="404040"/>
          <w:sz w:val="21"/>
          <w:szCs w:val="21"/>
        </w:rPr>
        <w:t xml:space="preserve">Uso cutáneo hospitalario: utilizar una pequeña cantidad del producto frotando de 2 a 5 minutos hasta obtener espuma. Aclarar con abundante agua o con una gasa estéril empapada en agua. Aplicar de 2 a 3 veces al día (o más a menudo, según necesidad). Tener cuidado con la acumulación del producto debajo del paciente.</w:t>
      </w:r>
    </w:p>
    <w:p>
      <w:pPr>
        <w:pBdr>
          <w:bottom w:val="single" w:color="2E5395" w:sz="6" w:space="4"/>
        </w:pBdr>
        <w:spacing w:after="140" w:before="320"/>
      </w:pPr>
      <w:r>
        <w:rPr>
          <w:b/>
          <w:bCs/>
          <w:color w:val="2E5395"/>
          <w:sz w:val="24"/>
          <w:szCs w:val="24"/>
        </w:rPr>
        <w:t xml:space="preserve">7. </w:t>
      </w:r>
      <w:r>
        <w:rPr>
          <w:b/>
          <w:bCs/>
          <w:color w:val="1F3864"/>
          <w:sz w:val="24"/>
          <w:szCs w:val="24"/>
        </w:rPr>
        <w:t xml:space="preserve">Contraindicaciones y advertencias</w:t>
      </w:r>
    </w:p>
    <w:p>
      <w:pPr>
        <w:spacing w:after="100" w:before="120"/>
      </w:pPr>
      <w:r>
        <w:rPr>
          <w:b/>
          <w:bCs/>
          <w:i/>
          <w:iCs/>
          <w:color w:val="1F3864"/>
          <w:sz w:val="21"/>
          <w:szCs w:val="21"/>
        </w:rPr>
        <w:t xml:space="preserve">Contraindicaciones</w:t>
      </w:r>
    </w:p>
    <w:p>
      <w:pPr>
        <w:spacing w:after="160" w:line="300"/>
        <w:jc w:val="both"/>
      </w:pPr>
      <w:r>
        <w:rPr>
          <w:color w:val="404040"/>
          <w:sz w:val="21"/>
          <w:szCs w:val="21"/>
        </w:rPr>
        <w:t xml:space="preserve">Alergia o hipersensibilidad al principio activo. Si los síntomas persisten, consulte a su médico. Evitar tratamientos prolongados.</w:t>
      </w:r>
    </w:p>
    <w:p>
      <w:pPr>
        <w:spacing w:after="100" w:before="120"/>
      </w:pPr>
      <w:r>
        <w:rPr>
          <w:b/>
          <w:bCs/>
          <w:i/>
          <w:iCs/>
          <w:color w:val="1F3864"/>
          <w:sz w:val="21"/>
          <w:szCs w:val="21"/>
        </w:rPr>
        <w:t xml:space="preserve">Advertencias</w:t>
      </w:r>
    </w:p>
    <w:p>
      <w:pPr>
        <w:spacing w:after="160" w:line="300"/>
        <w:jc w:val="both"/>
      </w:pPr>
      <w:r>
        <w:rPr>
          <w:color w:val="404040"/>
          <w:sz w:val="21"/>
          <w:szCs w:val="21"/>
        </w:rPr>
        <w:t xml:space="preserve">No utilizar la solución en la herida abierta, sino en los límites de la misma.</w:t>
      </w:r>
    </w:p>
    <w:p>
      <w:pPr>
        <w:pBdr>
          <w:bottom w:val="single" w:color="2E5395" w:sz="6" w:space="4"/>
        </w:pBdr>
        <w:spacing w:after="140" w:before="320"/>
      </w:pPr>
      <w:r>
        <w:rPr>
          <w:b/>
          <w:bCs/>
          <w:color w:val="2E5395"/>
          <w:sz w:val="24"/>
          <w:szCs w:val="24"/>
        </w:rPr>
        <w:t xml:space="preserve">8. </w:t>
      </w:r>
      <w:r>
        <w:rPr>
          <w:b/>
          <w:bCs/>
          <w:color w:val="1F3864"/>
          <w:sz w:val="24"/>
          <w:szCs w:val="24"/>
        </w:rPr>
        <w:t xml:space="preserve">Reacciones adversas</w:t>
      </w:r>
    </w:p>
    <w:p>
      <w:pPr>
        <w:spacing w:after="160" w:line="300"/>
        <w:jc w:val="both"/>
      </w:pPr>
      <w:r>
        <w:rPr>
          <w:color w:val="404040"/>
          <w:sz w:val="21"/>
          <w:szCs w:val="21"/>
        </w:rPr>
        <w:t xml:space="preserve">Muy raros casos de ardor en la zona de aplicación.</w:t>
      </w:r>
    </w:p>
    <w:p>
      <w:pPr>
        <w:spacing w:after="100" w:before="120"/>
      </w:pPr>
      <w:r>
        <w:rPr>
          <w:b/>
          <w:bCs/>
          <w:i/>
          <w:iCs/>
          <w:color w:val="1F3864"/>
          <w:sz w:val="21"/>
          <w:szCs w:val="21"/>
        </w:rPr>
        <w:t xml:space="preserve">En niños</w:t>
      </w:r>
    </w:p>
    <w:p>
      <w:pPr>
        <w:spacing w:after="160" w:line="300"/>
        <w:jc w:val="both"/>
      </w:pPr>
      <w:r>
        <w:rPr>
          <w:color w:val="404040"/>
          <w:sz w:val="21"/>
          <w:szCs w:val="21"/>
        </w:rPr>
        <w:t xml:space="preserve">La aplicación de povidona yodada sobre heridas extensas, quemaduras o durante tiempo prolongado puede producir efectos sistémicos adversos, tales como acidosis metabólica, hipernatremia y trastornos de la función renal, hepática y tiroidea.</w:t>
      </w:r>
    </w:p>
    <w:p>
      <w:pPr>
        <w:spacing w:after="100" w:before="120"/>
      </w:pPr>
      <w:r>
        <w:rPr>
          <w:b/>
          <w:bCs/>
          <w:i/>
          <w:iCs/>
          <w:color w:val="1F3864"/>
          <w:sz w:val="21"/>
          <w:szCs w:val="21"/>
        </w:rPr>
        <w:t xml:space="preserve">En pacientes geriátricos</w:t>
      </w:r>
    </w:p>
    <w:p>
      <w:pPr>
        <w:spacing w:after="160" w:line="300"/>
        <w:jc w:val="both"/>
      </w:pPr>
      <w:r>
        <w:rPr>
          <w:color w:val="404040"/>
          <w:sz w:val="21"/>
          <w:szCs w:val="21"/>
        </w:rPr>
        <w:t xml:space="preserve">No se han descrito reacciones adversas; en casos raros, ardor en la zona.</w:t>
      </w:r>
    </w:p>
    <w:p>
      <w:pPr>
        <w:pBdr>
          <w:bottom w:val="single" w:color="2E5395" w:sz="6" w:space="4"/>
        </w:pBdr>
        <w:spacing w:after="140" w:before="320"/>
      </w:pPr>
      <w:r>
        <w:rPr>
          <w:b/>
          <w:bCs/>
          <w:color w:val="2E5395"/>
          <w:sz w:val="24"/>
          <w:szCs w:val="24"/>
        </w:rPr>
        <w:t xml:space="preserve">9. </w:t>
      </w:r>
      <w:r>
        <w:rPr>
          <w:b/>
          <w:bCs/>
          <w:color w:val="1F3864"/>
          <w:sz w:val="24"/>
          <w:szCs w:val="24"/>
        </w:rPr>
        <w:t xml:space="preserve">Interacciones medicamentosas</w:t>
      </w:r>
    </w:p>
    <w:p>
      <w:pPr>
        <w:spacing w:after="160" w:line="300"/>
        <w:jc w:val="both"/>
      </w:pPr>
      <w:r>
        <w:rPr>
          <w:color w:val="404040"/>
          <w:sz w:val="21"/>
          <w:szCs w:val="21"/>
        </w:rPr>
        <w:t xml:space="preserve">Los pacientes con bocio o nódulos en tiroides y otras afecciones tiroideas no agudas tienen riesgo de padecer hipotiroidismo con la administración de cantidades elevadas de yodo. En estos pacientes, no se debe aplicar el producto durante tiempos prolongados y en áreas extensas, a menos que el especialista así lo considere.</w:t>
      </w:r>
    </w:p>
    <w:p>
      <w:pPr>
        <w:spacing w:after="160" w:line="300"/>
        <w:jc w:val="both"/>
      </w:pPr>
      <w:r>
        <w:rPr>
          <w:color w:val="404040"/>
          <w:sz w:val="21"/>
          <w:szCs w:val="21"/>
        </w:rPr>
        <w:t xml:space="preserve">No se debe usar luego de la exposición a yodo radioactivo; deberá controlarse la función tiroidea.</w:t>
      </w:r>
    </w:p>
    <w:p>
      <w:pPr>
        <w:pBdr>
          <w:bottom w:val="single" w:color="2E5395" w:sz="6" w:space="4"/>
        </w:pBdr>
        <w:spacing w:after="140" w:before="320"/>
      </w:pPr>
      <w:r>
        <w:rPr>
          <w:b/>
          <w:bCs/>
          <w:color w:val="2E5395"/>
          <w:sz w:val="24"/>
          <w:szCs w:val="24"/>
        </w:rPr>
        <w:t xml:space="preserve">10. </w:t>
      </w:r>
      <w:r>
        <w:rPr>
          <w:b/>
          <w:bCs/>
          <w:color w:val="1F3864"/>
          <w:sz w:val="24"/>
          <w:szCs w:val="24"/>
        </w:rPr>
        <w:t xml:space="preserve">Incompatibilidades</w:t>
      </w:r>
    </w:p>
    <w:p>
      <w:pPr>
        <w:spacing w:after="160" w:line="300"/>
        <w:jc w:val="both"/>
      </w:pPr>
      <w:r>
        <w:rPr>
          <w:color w:val="404040"/>
          <w:sz w:val="21"/>
          <w:szCs w:val="21"/>
        </w:rPr>
        <w:t xml:space="preserve">Con oxidantes. No mezclar con otros desinfectantes antes del aclarado total del producto y el secado de la zona.</w:t>
      </w:r>
    </w:p>
    <w:p>
      <w:pPr>
        <w:pBdr>
          <w:bottom w:val="single" w:color="2E5395" w:sz="6" w:space="4"/>
        </w:pBdr>
        <w:spacing w:after="140" w:before="320"/>
      </w:pPr>
      <w:r>
        <w:rPr>
          <w:b/>
          <w:bCs/>
          <w:color w:val="2E5395"/>
          <w:sz w:val="24"/>
          <w:szCs w:val="24"/>
        </w:rPr>
        <w:t xml:space="preserve">11. </w:t>
      </w:r>
      <w:r>
        <w:rPr>
          <w:b/>
          <w:bCs/>
          <w:color w:val="1F3864"/>
          <w:sz w:val="24"/>
          <w:szCs w:val="24"/>
        </w:rPr>
        <w:t xml:space="preserve">Advertencias de uso durante embarazo y lactancia</w:t>
      </w:r>
    </w:p>
    <w:p>
      <w:pPr>
        <w:spacing w:after="160" w:line="300"/>
        <w:jc w:val="both"/>
      </w:pPr>
      <w:r>
        <w:rPr>
          <w:color w:val="404040"/>
          <w:sz w:val="21"/>
          <w:szCs w:val="21"/>
        </w:rPr>
        <w:t xml:space="preserve">Evitar el uso prolongado, ya que el yodo absorbido puede atravesar tanto la barrera placentaria como excretarse a través de la leche materna, lo que podría producir un hipotiroidismo secundario en el lactante.</w:t>
      </w:r>
    </w:p>
    <w:p>
      <w:pPr>
        <w:pBdr>
          <w:bottom w:val="single" w:color="2E5395" w:sz="6" w:space="4"/>
        </w:pBdr>
        <w:spacing w:after="140" w:before="320"/>
      </w:pPr>
      <w:r>
        <w:rPr>
          <w:b/>
          <w:bCs/>
          <w:color w:val="2E5395"/>
          <w:sz w:val="24"/>
          <w:szCs w:val="24"/>
        </w:rPr>
        <w:t xml:space="preserve">12. </w:t>
      </w:r>
      <w:r>
        <w:rPr>
          <w:b/>
          <w:bCs/>
          <w:color w:val="1F3864"/>
          <w:sz w:val="24"/>
          <w:szCs w:val="24"/>
        </w:rPr>
        <w:t xml:space="preserve">Sobredosificación</w:t>
      </w:r>
    </w:p>
    <w:p>
      <w:pPr>
        <w:spacing w:after="160" w:line="300"/>
        <w:jc w:val="both"/>
      </w:pPr>
      <w:r>
        <w:rPr>
          <w:color w:val="404040"/>
          <w:sz w:val="21"/>
          <w:szCs w:val="21"/>
        </w:rPr>
        <w:t xml:space="preserve">No existe peligro de sobredosificación.</w:t>
      </w:r>
    </w:p>
    <w:p>
      <w:pPr>
        <w:spacing w:after="160" w:line="300"/>
        <w:jc w:val="both"/>
      </w:pPr>
      <w:r>
        <w:rPr>
          <w:color w:val="404040"/>
          <w:sz w:val="21"/>
          <w:szCs w:val="21"/>
        </w:rPr>
        <w:t xml:space="preserve">En caso de ingesta accidental de grandes cantidades de yodopovidona, los efectos producidos se deben al yodo y comprenden malestares gastrointestinales, como dolor abdominal, náuseas y vómitos. Se debe inducir al vómito y se puede administrar leche o agua.</w:t>
      </w:r>
    </w:p>
    <w:p>
      <w:pPr>
        <w:spacing w:after="160" w:line="300"/>
        <w:jc w:val="both"/>
      </w:pPr>
      <w:r>
        <w:rPr>
          <w:color w:val="404040"/>
          <w:sz w:val="21"/>
          <w:szCs w:val="21"/>
        </w:rPr>
        <w:t xml:space="preserve">El tratamiento utiliza como antídoto tiosulfato de sodio, el cual debe ser administrado por personal médico en el centro de urgencia más cercano.</w:t>
      </w:r>
    </w:p>
    <w:p>
      <w:pPr>
        <w:pBdr>
          <w:bottom w:val="single" w:color="2E5395" w:sz="6" w:space="4"/>
        </w:pBdr>
        <w:spacing w:after="140" w:before="320"/>
      </w:pPr>
      <w:r>
        <w:rPr>
          <w:b/>
          <w:bCs/>
          <w:color w:val="2E5395"/>
          <w:sz w:val="24"/>
          <w:szCs w:val="24"/>
        </w:rPr>
        <w:t xml:space="preserve">13. </w:t>
      </w:r>
      <w:r>
        <w:rPr>
          <w:b/>
          <w:bCs/>
          <w:color w:val="1F3864"/>
          <w:sz w:val="24"/>
          <w:szCs w:val="24"/>
        </w:rPr>
        <w:t xml:space="preserve">Efectos indeseables en condiciones normales</w:t>
      </w:r>
    </w:p>
    <w:p>
      <w:pPr>
        <w:spacing w:after="160" w:line="300"/>
        <w:jc w:val="both"/>
      </w:pPr>
      <w:r>
        <w:rPr>
          <w:color w:val="404040"/>
          <w:sz w:val="21"/>
          <w:szCs w:val="21"/>
        </w:rPr>
        <w:t xml:space="preserve">No se han descrito efectos adversos o indeseables bajo condiciones normales.</w:t>
      </w:r>
    </w:p>
    <w:p>
      <w:pPr>
        <w:pBdr>
          <w:bottom w:val="single" w:color="2E5395" w:sz="6" w:space="4"/>
        </w:pBdr>
        <w:spacing w:after="140" w:before="320"/>
      </w:pPr>
      <w:r>
        <w:rPr>
          <w:b/>
          <w:bCs/>
          <w:color w:val="2E5395"/>
          <w:sz w:val="24"/>
          <w:szCs w:val="24"/>
        </w:rPr>
        <w:t xml:space="preserve">14. </w:t>
      </w:r>
      <w:r>
        <w:rPr>
          <w:b/>
          <w:bCs/>
          <w:color w:val="1F3864"/>
          <w:sz w:val="24"/>
          <w:szCs w:val="24"/>
        </w:rPr>
        <w:t xml:space="preserve">Precauciones para conducir vehículos y operar máquinas</w:t>
      </w:r>
    </w:p>
    <w:p>
      <w:pPr>
        <w:spacing w:after="160" w:line="300"/>
        <w:jc w:val="both"/>
      </w:pPr>
      <w:r>
        <w:rPr>
          <w:color w:val="404040"/>
          <w:sz w:val="21"/>
          <w:szCs w:val="21"/>
        </w:rPr>
        <w:t xml:space="preserve">No se han descrito.</w:t>
      </w:r>
    </w:p>
    <w:p>
      <w:pPr>
        <w:pBdr>
          <w:bottom w:val="single" w:color="2E5395" w:sz="6" w:space="4"/>
        </w:pBdr>
        <w:spacing w:after="140" w:before="320"/>
      </w:pPr>
      <w:r>
        <w:rPr>
          <w:b/>
          <w:bCs/>
          <w:color w:val="2E5395"/>
          <w:sz w:val="24"/>
          <w:szCs w:val="24"/>
        </w:rPr>
        <w:t xml:space="preserve">15. </w:t>
      </w:r>
      <w:r>
        <w:rPr>
          <w:b/>
          <w:bCs/>
          <w:color w:val="1F3864"/>
          <w:sz w:val="24"/>
          <w:szCs w:val="24"/>
        </w:rPr>
        <w:t xml:space="preserve">Conservación de Jabón Quirúrgico Paracelso</w:t>
      </w:r>
    </w:p>
    <w:p>
      <w:pPr>
        <w:spacing w:after="160" w:line="300"/>
        <w:jc w:val="both"/>
      </w:pPr>
      <w:r>
        <w:rPr>
          <w:color w:val="404040"/>
          <w:sz w:val="21"/>
          <w:szCs w:val="21"/>
        </w:rPr>
        <w:t xml:space="preserve">Mantener fuera del alcance y de la vista de los niños. Este medicamento no requiere condiciones especiales de conservación. No utilizar después de la fecha de caducidad que aparece en el envase (después de VEN.). Conservar a una temperatura no mayor a 30 °C.</w:t>
      </w:r>
    </w:p>
    <w:p>
      <w:pPr>
        <w:pBdr>
          <w:bottom w:val="single" w:color="2E5395" w:sz="6" w:space="4"/>
        </w:pBdr>
        <w:spacing w:after="140" w:before="320"/>
      </w:pPr>
      <w:r>
        <w:rPr>
          <w:b/>
          <w:bCs/>
          <w:color w:val="2E5395"/>
          <w:sz w:val="24"/>
          <w:szCs w:val="24"/>
        </w:rPr>
        <w:t xml:space="preserve">16. </w:t>
      </w:r>
      <w:r>
        <w:rPr>
          <w:b/>
          <w:bCs/>
          <w:color w:val="1F3864"/>
          <w:sz w:val="24"/>
          <w:szCs w:val="24"/>
        </w:rPr>
        <w:t xml:space="preserve">Nombre y dirección del fabricante</w:t>
      </w:r>
    </w:p>
    <w:p>
      <w:pPr>
        <w:spacing w:after="160" w:line="300"/>
        <w:jc w:val="both"/>
      </w:pPr>
      <w:r>
        <w:rPr>
          <w:color w:val="404040"/>
          <w:sz w:val="21"/>
          <w:szCs w:val="21"/>
        </w:rPr>
        <w:t xml:space="preserve">Jabón Quirúrgico Paracelso es fabricado y distribuido por Laboratorios Paracelso Cía. Ltda. Km 6 camino a Racar, frente a la Mutualista Azuay.</w:t>
      </w:r>
    </w:p>
    <w:p>
      <w:pPr>
        <w:pBdr>
          <w:top w:val="single" w:color="2E5395" w:sz="6" w:space="8"/>
        </w:pBdr>
        <w:spacing w:before="300"/>
        <w:jc w:val="center"/>
      </w:pPr>
      <w:r>
        <w:rPr>
          <w:b/>
          <w:bCs/>
          <w:color w:val="1F3864"/>
          <w:sz w:val="21"/>
          <w:szCs w:val="21"/>
        </w:rPr>
        <w:t xml:space="preserve">Reg. San: 5993-MAN-02-11</w:t>
      </w:r>
    </w:p>
    <w:sectPr>
      <w:headerReference w:type="default" r:id="rId7"/>
      <w:footerReference w:type="default" r:id="rId8"/>
      <w:pgSz w:w="12240" w:h="15840" w:orient="portrait"/>
      <w:pgMar w:top="1000" w:right="1200" w:bottom="1000" w:left="12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BFBFBF" w:sz="4" w:space="6"/>
      </w:pBdr>
      <w:jc w:val="center"/>
    </w:pPr>
    <w:r>
      <w:rPr>
        <w:color w:val="808080"/>
        <w:sz w:val="16"/>
        <w:szCs w:val="16"/>
      </w:rPr>
      <w:t xml:space="preserve">Laboratorios Paracelso Cía. Ltda.  |  Reg. San: 5993-MAN-02-11</w:t>
    </w:r>
    <w:r>
      <w:rPr>
        <w:color w:val="808080"/>
        <w:sz w:val="16"/>
        <w:szCs w:val="16"/>
      </w:rPr>
      <w:t xml:space="preserve">        Página </w:t>
    </w:r>
    <w:r>
      <w:rPr>
        <w:color w:val="808080"/>
        <w:sz w:val="16"/>
        <w:szCs w:val="16"/>
      </w:rPr>
      <w:fldChar w:fldCharType="begin"/>
      <w:instrText xml:space="preserve">PAGE</w:instrText>
      <w:fldChar w:fldCharType="separate"/>
      <w:fldChar w:fldCharType="end"/>
    </w:r>
    <w:r>
      <w:rPr>
        <w:color w:val="808080"/>
        <w:sz w:val="16"/>
        <w:szCs w:val="16"/>
      </w:rPr>
      <w:t xml:space="preserve"> de </w:t>
    </w:r>
    <w:r>
      <w:rPr>
        <w:color w:val="808080"/>
        <w:sz w:val="16"/>
        <w:szCs w:val="16"/>
      </w:rPr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pBdr>
        <w:bottom w:val="single" w:color="BFBFBF" w:sz="4" w:space="6"/>
      </w:pBdr>
      <w:jc w:val="center"/>
    </w:pPr>
    <w:r>
      <w:drawing>
        <wp:inline distT="0" distB="0" distL="0" distR="0">
          <wp:extent cx="1143000" cy="619125"/>
          <wp:effectExtent t="0" r="0" b="0" l="0"/>
          <wp:docPr id="1" name="" descr="" title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3000" cy="6191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><Relationship Id="rId0" Type="http://schemas.openxmlformats.org/officeDocument/2006/relationships/image" Target="media/b4bf82af22d43699d8268144d7a91ce71de67d3c.jpg"/></Relationships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2026-08-25T16:20:12.761Z</dcterms:created>
  <dcterms:modified xsi:type="dcterms:W3CDTF">2026-08-25T16:20:12.762Z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