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aps/>
          <w:color w:val="1F3864"/>
          <w:sz w:val="22"/>
          <w:szCs w:val="22"/>
        </w:rPr>
        <w:t xml:space="preserve">PROSPECTO: INFORMACIÓN PARA EL USUARIO</w:t>
      </w:r>
    </w:p>
    <w:p>
      <w:pPr>
        <w:spacing w:after="40" w:before="200"/>
        <w:jc w:val="center"/>
      </w:pPr>
      <w:r>
        <w:rPr>
          <w:b/>
          <w:bCs/>
          <w:color w:val="1F3864"/>
          <w:sz w:val="40"/>
          <w:szCs w:val="40"/>
        </w:rPr>
        <w:t xml:space="preserve">JABÓN DE CLORHEXIDINA 4%</w:t>
      </w:r>
    </w:p>
    <w:p>
      <w:pPr>
        <w:pBdr>
          <w:bottom w:val="single" w:color="2E5395" w:sz="8" w:space="8"/>
        </w:pBdr>
        <w:spacing w:after="100"/>
        <w:jc w:val="center"/>
      </w:pPr>
      <w:r>
        <w:rPr>
          <w:i/>
          <w:iCs/>
          <w:color w:val="2E5395"/>
          <w:sz w:val="26"/>
          <w:szCs w:val="26"/>
        </w:rPr>
        <w:t xml:space="preserve">Solución Tópica</w:t>
      </w:r>
    </w:p>
    <w:p>
      <w:pPr>
        <w:spacing w:after="120" w:before="260"/>
      </w:pPr>
      <w:r>
        <w:rPr>
          <w:i/>
          <w:iCs/>
          <w:color w:val="404040"/>
          <w:sz w:val="21"/>
          <w:szCs w:val="21"/>
        </w:rPr>
        <w:t xml:space="preserve">Lea todo el prospecto detenidamente antes de empezar a usar este medicamento, porque contiene información importante para usted.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Siga exactamente las instrucciones de administración del medicamento contenidas en este prospecto o las indicadas por su médico, farmacéutico o enfermero.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Conserve este prospecto, ya que puede tener que volver a leerlo.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Si necesita consejo o más información, consulte a su farmacéutico.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Si experimenta efectos adversos, consulte a su médico, o farmacéutico o enfermero, incluso si se trata de efectos adversos que no aparecen en este prospecto.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Debe consultar a un médico si empeora o si no mejora después de 3 días.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1. </w:t>
      </w:r>
      <w:r>
        <w:rPr>
          <w:b/>
          <w:bCs/>
          <w:color w:val="1F3864"/>
          <w:sz w:val="24"/>
          <w:szCs w:val="24"/>
        </w:rPr>
        <w:t xml:space="preserve">Qué es JABÓN DE CLORHEXIDINA 4% y para qué se utiliza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El JABÓN DE CLORHEXIDINA 4% es un jabón líquido que posee acción desinfectante con amplio espectro microbicida contra virus, bacterias y hongos. Es de uso tópico sobre la piel.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2. </w:t>
      </w:r>
      <w:r>
        <w:rPr>
          <w:b/>
          <w:bCs/>
          <w:color w:val="1F3864"/>
          <w:sz w:val="24"/>
          <w:szCs w:val="24"/>
        </w:rPr>
        <w:t xml:space="preserve">Composición del jabón de clorhexidina 4%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Cada 100 mL del producto contiene: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Gluconato de clorhexidina al 20%  ................  4%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Excipientes: cocobetaína, comperlan, glicerina, colorante rojo, fragancia, agua purificada c.s.p. 100%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3. </w:t>
      </w:r>
      <w:r>
        <w:rPr>
          <w:b/>
          <w:bCs/>
          <w:color w:val="1F3864"/>
          <w:sz w:val="24"/>
          <w:szCs w:val="24"/>
        </w:rPr>
        <w:t xml:space="preserve">Forma farmacéutica y contenido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El jabón de clorhexidina 4% es una solución tópica. Presentaciones de 100 mL, 120 mL, 250 mL, 500 mL, litro y 3.85 litros con tapa más inserto.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También está disponible en presentaciones de 100 mL, 120 mL, 250 mL y 500 mL con dispensador más inserto.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4. </w:t>
      </w:r>
      <w:r>
        <w:rPr>
          <w:b/>
          <w:bCs/>
          <w:color w:val="1F3864"/>
          <w:sz w:val="24"/>
          <w:szCs w:val="24"/>
        </w:rPr>
        <w:t xml:space="preserve">Indicaciones terapéuticas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El gluconato de clorhexidina es un agente antimicrobiano tópico que se utiliza en la preparación de la piel del paciente antes de una operación quirúrgica y en el lavado de heridas. El espectro antibacteriano de la clorhexidina incluye tanto a bacterias Gram-positivas como Gram-negativas, algunos virus como el HIV y algunos hongos, pero solo es esporicida a elevadas temperaturas.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La actividad antiséptica de la clorhexidina es superior a la de la povidona, la espuma de alcohol y el hexaclorofeno. La clorhexidina es un antiséptico tópico ideal, con un efecto muy rápido y una mínima absorción, aunque se han asociado algunas reacciones alérgicas al tratamiento tópico con clorhexidina.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5. </w:t>
      </w:r>
      <w:r>
        <w:rPr>
          <w:b/>
          <w:bCs/>
          <w:color w:val="1F3864"/>
          <w:sz w:val="24"/>
          <w:szCs w:val="24"/>
        </w:rPr>
        <w:t xml:space="preserve">Indicaciones necesarias antes de usar el producto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usar jabón de clorhexidina 4% si es alérgico (hipersensible) al gluconato de clorhexidina o a cualquiera de los demás componentes de este medicamento.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6. </w:t>
      </w:r>
      <w:r>
        <w:rPr>
          <w:b/>
          <w:bCs/>
          <w:color w:val="1F3864"/>
          <w:sz w:val="24"/>
          <w:szCs w:val="24"/>
        </w:rPr>
        <w:t xml:space="preserve">Modo de uso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Siga exactamente las instrucciones de administración del medicamento contenidas en este prospecto o las indicadas por su médico o enfermero. En caso de duda, pregunte a su médico o farmacéutico. Este medicamento debe administrarse directamente sobre la piel y luego enjuagar.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Humedezca los brazos y antebrazos con agua limpia, coloque de 5 a 10 mL de jabón de clorhexidina 4%, frote brazos, antebrazos, espacios interdigitales y uñas, y enjuague con abundante agua.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7. </w:t>
      </w:r>
      <w:r>
        <w:rPr>
          <w:b/>
          <w:bCs/>
          <w:color w:val="1F3864"/>
          <w:sz w:val="24"/>
          <w:szCs w:val="24"/>
        </w:rPr>
        <w:t xml:space="preserve">Posibles efectos adversos, contraindicaciones e interacciones</w:t>
      </w:r>
    </w:p>
    <w:p>
      <w:pPr>
        <w:spacing w:after="100" w:before="120"/>
      </w:pPr>
      <w:r>
        <w:rPr>
          <w:b/>
          <w:bCs/>
          <w:i/>
          <w:iCs/>
          <w:color w:val="1F3864"/>
          <w:sz w:val="21"/>
          <w:szCs w:val="21"/>
        </w:rPr>
        <w:t xml:space="preserve">Interacciones e interferencias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se conocen. Si los síntomas persisten consulte a su médico. Evitar tratamientos prolongados.</w:t>
      </w:r>
    </w:p>
    <w:p>
      <w:pPr>
        <w:spacing w:after="100" w:before="120"/>
      </w:pPr>
      <w:r>
        <w:rPr>
          <w:b/>
          <w:bCs/>
          <w:i/>
          <w:iCs/>
          <w:color w:val="1F3864"/>
          <w:sz w:val="21"/>
          <w:szCs w:val="21"/>
        </w:rPr>
        <w:t xml:space="preserve">Advertencias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Evitar el contacto cerca de los ojos o de zonas sensibles (membranas mucosas), ya que puede provocar irritación. En caso de contacto con los ojos o las mucosas de las vías de entrada en el cuerpo, se debe lavar inmediatamente el área afectada con abundante agua.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Evitar el contacto sobre la parte interna de la oreja (oído medio) y el contacto directo con el tejido neural (por ejemplo, el cerebro y la médula espinal). Utilice con cuidado en neonatos, especialmente en prematuros. Puede causar quemaduras químicas en la piel.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Puede, en raras ocasiones, causar reacciones alérgicas graves llevando a una disminución en la presión arterial e incluso inconsciencia. Los primeros síntomas de una reacción alérgica grave pueden ser erupción cutánea o asma. Si nota estos síntomas, deje de usar el producto y contacte con su médico lo antes posible.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El producto debe aplicarse suavemente sobre la piel. Si la solución se aplica de forma demasiado vigorosa sobre piel frágil o sensible, o tras un uso repetido, puede producirse eritema, inflamación, picor, piel seca y/o descamada, y dolor. Ante el primer signo de cualquiera de estas reacciones, debe suspenderse la aplicación. Evite el contacto prolongado con la piel.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8. </w:t>
      </w:r>
      <w:r>
        <w:rPr>
          <w:b/>
          <w:bCs/>
          <w:color w:val="1F3864"/>
          <w:sz w:val="24"/>
          <w:szCs w:val="24"/>
        </w:rPr>
        <w:t xml:space="preserve">Efectos indeseables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Se puede presentar hipersensibilidad al componente, escozor y picor de duración breve después de la aplicación por vía tópica.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9. </w:t>
      </w:r>
      <w:r>
        <w:rPr>
          <w:b/>
          <w:bCs/>
          <w:color w:val="1F3864"/>
          <w:sz w:val="24"/>
          <w:szCs w:val="24"/>
        </w:rPr>
        <w:t xml:space="preserve">Conservación del producto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Mantener fuera del alcance y de la vista de los niños. Este medicamento no requiere condiciones especiales de conservación. No utilizar el producto después de la fecha de caducidad que aparece en el envase (después de VEN.).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Los medicamentos no se deben tirar por los desagües ni a la basura. En caso de duda, pregunte a su farmacéutico cómo deshacerse de los envases y de los medicamentos que no necesita. De esta forma ayudará a proteger el medio ambiente. No ingerir. Producto de venta libre.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10. </w:t>
      </w:r>
      <w:r>
        <w:rPr>
          <w:b/>
          <w:bCs/>
          <w:color w:val="1F3864"/>
          <w:sz w:val="24"/>
          <w:szCs w:val="24"/>
        </w:rPr>
        <w:t xml:space="preserve">Nombre y dirección del fabricante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Es fabricado y distribuido por Laboratorios Paracelso Cía. Ltda. Km 6 camino a Racar, frente a la Mutualista Azuay 2.</w:t>
      </w:r>
    </w:p>
    <w:p>
      <w:pPr>
        <w:pBdr>
          <w:top w:val="single" w:color="2E5395" w:sz="6" w:space="8"/>
        </w:pBdr>
        <w:spacing w:before="300"/>
      </w:pPr>
      <w:r>
        <w:rPr>
          <w:b/>
          <w:bCs/>
          <w:color w:val="1F3864"/>
          <w:sz w:val="21"/>
          <w:szCs w:val="21"/>
        </w:rPr>
        <w:t xml:space="preserve">Reg. San: 3122-MEN-0421</w:t>
      </w:r>
    </w:p>
    <w:sectPr>
      <w:headerReference w:type="default" r:id="rId7"/>
      <w:footerReference w:type="default" r:id="rId8"/>
      <w:pgSz w:w="12240" w:h="15840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FBFBF" w:sz="4" w:space="6"/>
      </w:pBdr>
      <w:jc w:val="center"/>
    </w:pPr>
    <w:r>
      <w:rPr>
        <w:color w:val="808080"/>
        <w:sz w:val="16"/>
        <w:szCs w:val="16"/>
      </w:rPr>
      <w:t xml:space="preserve">Laboratorios Paracelso Cía. Ltda.  |  Reg. San: 3122-MEN-0421</w:t>
    </w:r>
    <w:r>
      <w:rPr>
        <w:color w:val="808080"/>
        <w:sz w:val="16"/>
        <w:szCs w:val="16"/>
      </w:rPr>
      <w:t xml:space="preserve">        Página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6"/>
      </w:pBdr>
      <w:jc w:val="center"/>
    </w:pPr>
    <w:r>
      <w:drawing>
        <wp:inline distT="0" distB="0" distL="0" distR="0">
          <wp:extent cx="1143000" cy="6191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4bf82af22d43699d8268144d7a91ce71de67d3c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2026-08-18T02:48:17.179Z</dcterms:created>
  <dcterms:modified xsi:type="dcterms:W3CDTF">2026-08-18T02:48:17.181Z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