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aps/>
          <w:color w:val="1F3864"/>
          <w:sz w:val="22"/>
          <w:szCs w:val="22"/>
        </w:rPr>
        <w:t xml:space="preserve">PROSPECTO: INFORMACIÓN PARA EL USUARIO</w:t>
      </w:r>
    </w:p>
    <w:p>
      <w:pPr>
        <w:spacing w:after="40" w:before="200"/>
        <w:jc w:val="center"/>
      </w:pPr>
      <w:r>
        <w:rPr>
          <w:b/>
          <w:bCs/>
          <w:color w:val="1F3864"/>
          <w:sz w:val="40"/>
          <w:szCs w:val="40"/>
        </w:rPr>
        <w:t xml:space="preserve">GEL ALCOHOL</w:t>
      </w:r>
    </w:p>
    <w:p>
      <w:pPr>
        <w:pBdr>
          <w:bottom w:val="single" w:color="2E5395" w:sz="8" w:space="8"/>
        </w:pBdr>
        <w:spacing w:after="100"/>
        <w:jc w:val="center"/>
      </w:pPr>
      <w:r>
        <w:rPr>
          <w:i/>
          <w:iCs/>
          <w:color w:val="2E5395"/>
          <w:sz w:val="26"/>
          <w:szCs w:val="26"/>
        </w:rPr>
        <w:t xml:space="preserve">Antiséptico 70%</w:t>
      </w:r>
    </w:p>
    <w:p>
      <w:pPr>
        <w:spacing w:after="120" w:before="260"/>
      </w:pPr>
      <w:r>
        <w:rPr>
          <w:i/>
          <w:iCs/>
          <w:color w:val="404040"/>
          <w:sz w:val="21"/>
          <w:szCs w:val="21"/>
        </w:rPr>
        <w:t xml:space="preserve">Lea todo el prospecto detenidamente antes de empezar a usar este medicamento, porque contiene información importante para usted.</w:t>
      </w:r>
    </w:p>
    <w:p>
      <w:pPr>
        <w:spacing w:after="160" w:line="300"/>
        <w:jc w:val="both"/>
      </w:pPr>
      <w:r>
        <w:rPr>
          <w:color w:val="404040"/>
          <w:sz w:val="21"/>
          <w:szCs w:val="21"/>
        </w:rPr>
        <w:t xml:space="preserve">Siga exactamente las instrucciones de administración del medicamento contenidas en este prospecto o las indicadas por su médico, farmacéutico o enfermero.</w:t>
      </w:r>
    </w:p>
    <w:p>
      <w:pPr>
        <w:spacing w:after="90"/>
        <w:ind w:left="360"/>
      </w:pPr>
      <w:r>
        <w:rPr>
          <w:color w:val="2E5395"/>
          <w:sz w:val="21"/>
          <w:szCs w:val="21"/>
        </w:rPr>
        <w:t xml:space="preserve">•  </w:t>
      </w:r>
      <w:r>
        <w:rPr>
          <w:color w:val="404040"/>
          <w:sz w:val="21"/>
          <w:szCs w:val="21"/>
        </w:rPr>
        <w:t xml:space="preserve">Conserve este prospecto, ya que puede tener que volver a leerlo.</w:t>
      </w:r>
    </w:p>
    <w:p>
      <w:pPr>
        <w:spacing w:after="90"/>
        <w:ind w:left="360"/>
      </w:pPr>
      <w:r>
        <w:rPr>
          <w:color w:val="2E5395"/>
          <w:sz w:val="21"/>
          <w:szCs w:val="21"/>
        </w:rPr>
        <w:t xml:space="preserve">•  </w:t>
      </w:r>
      <w:r>
        <w:rPr>
          <w:color w:val="404040"/>
          <w:sz w:val="21"/>
          <w:szCs w:val="21"/>
        </w:rPr>
        <w:t xml:space="preserve">Si necesita consejo o más información, consulte a su farmacéutico.</w:t>
      </w:r>
    </w:p>
    <w:p>
      <w:pPr>
        <w:spacing w:after="90"/>
        <w:ind w:left="360"/>
      </w:pPr>
      <w:r>
        <w:rPr>
          <w:color w:val="2E5395"/>
          <w:sz w:val="21"/>
          <w:szCs w:val="21"/>
        </w:rPr>
        <w:t xml:space="preserve">•  </w:t>
      </w:r>
      <w:r>
        <w:rPr>
          <w:color w:val="404040"/>
          <w:sz w:val="21"/>
          <w:szCs w:val="21"/>
        </w:rPr>
        <w:t xml:space="preserve">Si experimenta efectos adversos, consulte a su médico, farmacéutico o enfermero, incluso si se trata de efectos adversos que no aparecen en este prospecto.</w:t>
      </w:r>
    </w:p>
    <w:p>
      <w:pPr>
        <w:spacing w:after="90"/>
        <w:ind w:left="360"/>
      </w:pPr>
      <w:r>
        <w:rPr>
          <w:color w:val="2E5395"/>
          <w:sz w:val="21"/>
          <w:szCs w:val="21"/>
        </w:rPr>
        <w:t xml:space="preserve">•  </w:t>
      </w:r>
      <w:r>
        <w:rPr>
          <w:color w:val="404040"/>
          <w:sz w:val="21"/>
          <w:szCs w:val="21"/>
        </w:rPr>
        <w:t xml:space="preserve">Debe consultar a un médico si empeora o si no mejora.</w:t>
      </w:r>
    </w:p>
    <w:p>
      <w:pPr>
        <w:pBdr>
          <w:bottom w:val="single" w:color="2E5395" w:sz="6" w:space="4"/>
        </w:pBdr>
        <w:spacing w:after="140" w:before="320"/>
      </w:pPr>
      <w:r>
        <w:rPr>
          <w:b/>
          <w:bCs/>
          <w:color w:val="2E5395"/>
          <w:sz w:val="24"/>
          <w:szCs w:val="24"/>
        </w:rPr>
        <w:t xml:space="preserve">1. </w:t>
      </w:r>
      <w:r>
        <w:rPr>
          <w:b/>
          <w:bCs/>
          <w:color w:val="1F3864"/>
          <w:sz w:val="24"/>
          <w:szCs w:val="24"/>
        </w:rPr>
        <w:t xml:space="preserve">Qué es el Gel antiséptico 70% y para qué se utiliza. Acción farmacológica</w:t>
      </w:r>
    </w:p>
    <w:p>
      <w:pPr>
        <w:spacing w:after="160" w:line="300"/>
        <w:jc w:val="both"/>
      </w:pPr>
      <w:r>
        <w:rPr>
          <w:color w:val="404040"/>
          <w:sz w:val="21"/>
          <w:szCs w:val="21"/>
        </w:rPr>
        <w:t xml:space="preserve">Gel antiséptico 70% es un agente con alto poder microbicida. Tiene acción contra bacterias Gram-positivas, Gram-negativas, hongos y levaduras.</w:t>
      </w:r>
    </w:p>
    <w:p>
      <w:pPr>
        <w:spacing w:after="100" w:before="120"/>
      </w:pPr>
      <w:r>
        <w:rPr>
          <w:b/>
          <w:bCs/>
          <w:i/>
          <w:iCs/>
          <w:color w:val="1F3864"/>
          <w:sz w:val="21"/>
          <w:szCs w:val="21"/>
        </w:rPr>
        <w:t xml:space="preserve">Acción farmacológica</w:t>
      </w:r>
    </w:p>
    <w:p>
      <w:pPr>
        <w:spacing w:after="160" w:line="300"/>
        <w:jc w:val="both"/>
      </w:pPr>
      <w:r>
        <w:rPr>
          <w:color w:val="404040"/>
          <w:sz w:val="21"/>
          <w:szCs w:val="21"/>
        </w:rPr>
        <w:t xml:space="preserve">El Gel alcohol antiséptico 70% actúa frente a los microorganismos por su alta reactividad frente a materia orgánica, entrando en contacto con la superficie proteica del microorganismo y produciendo la ruptura de la superficie celular. Esto permite la entrada de nuevos radicales oxidativos al interior de la célula, los cuales actúan sobre las proteínas del ADN y ARN, interfiriendo en funciones vitales y dando como resultado la muerte celular.</w:t>
      </w:r>
    </w:p>
    <w:p>
      <w:pPr>
        <w:pBdr>
          <w:bottom w:val="single" w:color="2E5395" w:sz="6" w:space="4"/>
        </w:pBdr>
        <w:spacing w:after="140" w:before="320"/>
      </w:pPr>
      <w:r>
        <w:rPr>
          <w:b/>
          <w:bCs/>
          <w:color w:val="2E5395"/>
          <w:sz w:val="24"/>
          <w:szCs w:val="24"/>
        </w:rPr>
        <w:t xml:space="preserve">2. </w:t>
      </w:r>
      <w:r>
        <w:rPr>
          <w:b/>
          <w:bCs/>
          <w:color w:val="1F3864"/>
          <w:sz w:val="24"/>
          <w:szCs w:val="24"/>
        </w:rPr>
        <w:t xml:space="preserve">Composición del Gel alcohol antiséptico 70%</w:t>
      </w:r>
    </w:p>
    <w:p>
      <w:pPr>
        <w:spacing w:after="160" w:line="300"/>
        <w:jc w:val="both"/>
      </w:pPr>
      <w:r>
        <w:rPr>
          <w:color w:val="404040"/>
          <w:sz w:val="21"/>
          <w:szCs w:val="21"/>
        </w:rPr>
        <w:t xml:space="preserve">Cada 100 mL del producto contiene:</w:t>
      </w:r>
    </w:p>
    <w:p>
      <w:pPr>
        <w:spacing w:after="90"/>
        <w:ind w:left="360"/>
      </w:pPr>
      <w:r>
        <w:rPr>
          <w:color w:val="2E5395"/>
          <w:sz w:val="21"/>
          <w:szCs w:val="21"/>
        </w:rPr>
        <w:t xml:space="preserve">•  </w:t>
      </w:r>
      <w:r>
        <w:rPr>
          <w:color w:val="404040"/>
          <w:sz w:val="21"/>
          <w:szCs w:val="21"/>
        </w:rPr>
        <w:t xml:space="preserve">Alcohol etílico 96%  ................  72.9 mL</w:t>
      </w:r>
    </w:p>
    <w:p>
      <w:pPr>
        <w:spacing w:after="90"/>
        <w:ind w:left="360"/>
      </w:pPr>
      <w:r>
        <w:rPr>
          <w:color w:val="2E5395"/>
          <w:sz w:val="21"/>
          <w:szCs w:val="21"/>
        </w:rPr>
        <w:t xml:space="preserve">•  </w:t>
      </w:r>
      <w:r>
        <w:rPr>
          <w:color w:val="404040"/>
          <w:sz w:val="21"/>
          <w:szCs w:val="21"/>
        </w:rPr>
        <w:t xml:space="preserve">Excipientes: carbomer, catalizador (TEA), agua purificada c.s.p. 100 mL</w:t>
      </w:r>
    </w:p>
    <w:p>
      <w:pPr>
        <w:pBdr>
          <w:bottom w:val="single" w:color="2E5395" w:sz="6" w:space="4"/>
        </w:pBdr>
        <w:spacing w:after="140" w:before="320"/>
      </w:pPr>
      <w:r>
        <w:rPr>
          <w:b/>
          <w:bCs/>
          <w:color w:val="2E5395"/>
          <w:sz w:val="24"/>
          <w:szCs w:val="24"/>
        </w:rPr>
        <w:t xml:space="preserve">3. </w:t>
      </w:r>
      <w:r>
        <w:rPr>
          <w:b/>
          <w:bCs/>
          <w:color w:val="1F3864"/>
          <w:sz w:val="24"/>
          <w:szCs w:val="24"/>
        </w:rPr>
        <w:t xml:space="preserve">Forma farmacéutica y contenido</w:t>
      </w:r>
    </w:p>
    <w:p>
      <w:pPr>
        <w:spacing w:after="160" w:line="300"/>
        <w:jc w:val="both"/>
      </w:pPr>
      <w:r>
        <w:rPr>
          <w:color w:val="404040"/>
          <w:sz w:val="21"/>
          <w:szCs w:val="21"/>
        </w:rPr>
        <w:t xml:space="preserve">Gel alcohol antiséptico 70% es un producto de uso tópico. Está disponible en envases de 100 mL, 120 mL, 130 mL, 250 mL, 350 mL, 500 mL, litro y 3.85 litros, todos con inserto.</w:t>
      </w:r>
    </w:p>
    <w:p>
      <w:pPr>
        <w:spacing w:after="160" w:line="300"/>
        <w:jc w:val="both"/>
      </w:pPr>
      <w:r>
        <w:rPr>
          <w:color w:val="404040"/>
          <w:sz w:val="21"/>
          <w:szCs w:val="21"/>
        </w:rPr>
        <w:t xml:space="preserve">También está disponible con dispensador más inserto en envases de 250 mL, 350 mL, 500 mL y litro.</w:t>
      </w:r>
    </w:p>
    <w:p>
      <w:pPr>
        <w:spacing w:after="100" w:before="100"/>
      </w:pPr>
      <w:r>
        <w:rPr>
          <w:b/>
          <w:bCs/>
          <w:color w:val="1F3864"/>
          <w:sz w:val="21"/>
          <w:szCs w:val="21"/>
        </w:rPr>
        <w:t xml:space="preserve">VENTA LIBRE</w:t>
      </w:r>
    </w:p>
    <w:p>
      <w:pPr>
        <w:pBdr>
          <w:bottom w:val="single" w:color="2E5395" w:sz="6" w:space="4"/>
        </w:pBdr>
        <w:spacing w:after="140" w:before="320"/>
      </w:pPr>
      <w:r>
        <w:rPr>
          <w:b/>
          <w:bCs/>
          <w:color w:val="2E5395"/>
          <w:sz w:val="24"/>
          <w:szCs w:val="24"/>
        </w:rPr>
        <w:t xml:space="preserve">4. </w:t>
      </w:r>
      <w:r>
        <w:rPr>
          <w:b/>
          <w:bCs/>
          <w:color w:val="1F3864"/>
          <w:sz w:val="24"/>
          <w:szCs w:val="24"/>
        </w:rPr>
        <w:t xml:space="preserve">Indicaciones terapéuticas</w:t>
      </w:r>
    </w:p>
    <w:p>
      <w:pPr>
        <w:spacing w:after="160" w:line="300"/>
        <w:jc w:val="both"/>
      </w:pPr>
      <w:r>
        <w:rPr>
          <w:color w:val="404040"/>
          <w:sz w:val="21"/>
          <w:szCs w:val="21"/>
        </w:rPr>
        <w:t xml:space="preserve">Se utiliza como antiséptico y como complemento del lavado quirúrgico. Posterior al uso de jabón antiséptico, las manos y los espacios interdigitales deben frotarse con el producto hasta que este seque.</w:t>
      </w:r>
    </w:p>
    <w:p>
      <w:pPr>
        <w:pBdr>
          <w:bottom w:val="single" w:color="2E5395" w:sz="6" w:space="4"/>
        </w:pBdr>
        <w:spacing w:after="140" w:before="320"/>
      </w:pPr>
      <w:r>
        <w:rPr>
          <w:b/>
          <w:bCs/>
          <w:color w:val="2E5395"/>
          <w:sz w:val="24"/>
          <w:szCs w:val="24"/>
        </w:rPr>
        <w:t xml:space="preserve">5. </w:t>
      </w:r>
      <w:r>
        <w:rPr>
          <w:b/>
          <w:bCs/>
          <w:color w:val="1F3864"/>
          <w:sz w:val="24"/>
          <w:szCs w:val="24"/>
        </w:rPr>
        <w:t xml:space="preserve">Indicaciones necesarias antes de usar el producto y precauciones</w:t>
      </w:r>
    </w:p>
    <w:p>
      <w:pPr>
        <w:spacing w:after="160" w:line="300"/>
        <w:jc w:val="both"/>
      </w:pPr>
      <w:r>
        <w:rPr>
          <w:color w:val="404040"/>
          <w:sz w:val="21"/>
          <w:szCs w:val="21"/>
        </w:rPr>
        <w:t xml:space="preserve">No se recomienda el uso de Gel alcohol antiséptico 70% en pacientes con heridas profundas y extensas.</w:t>
      </w:r>
    </w:p>
    <w:p>
      <w:pPr>
        <w:spacing w:after="160" w:line="300"/>
        <w:jc w:val="both"/>
      </w:pPr>
      <w:r>
        <w:rPr>
          <w:color w:val="404040"/>
          <w:sz w:val="21"/>
          <w:szCs w:val="21"/>
        </w:rPr>
        <w:t xml:space="preserve">No ingerir. Mantener fuera del alcance de los niños. Producto inflamable. Mantener en recipientes bien cerrados.</w:t>
      </w:r>
    </w:p>
    <w:p>
      <w:pPr>
        <w:pBdr>
          <w:bottom w:val="single" w:color="2E5395" w:sz="6" w:space="4"/>
        </w:pBdr>
        <w:spacing w:after="140" w:before="320"/>
      </w:pPr>
      <w:r>
        <w:rPr>
          <w:b/>
          <w:bCs/>
          <w:color w:val="2E5395"/>
          <w:sz w:val="24"/>
          <w:szCs w:val="24"/>
        </w:rPr>
        <w:t xml:space="preserve">6. </w:t>
      </w:r>
      <w:r>
        <w:rPr>
          <w:b/>
          <w:bCs/>
          <w:color w:val="1F3864"/>
          <w:sz w:val="24"/>
          <w:szCs w:val="24"/>
        </w:rPr>
        <w:t xml:space="preserve">Modo de uso</w:t>
      </w:r>
    </w:p>
    <w:p>
      <w:pPr>
        <w:spacing w:after="160" w:line="300"/>
        <w:jc w:val="both"/>
      </w:pPr>
      <w:r>
        <w:rPr>
          <w:color w:val="404040"/>
          <w:sz w:val="21"/>
          <w:szCs w:val="21"/>
        </w:rPr>
        <w:t xml:space="preserve">Colocar directamente sobre la zona a desinfectar. En el caso de uso en manos, colocar una cantidad suficiente del producto y frotar hasta que se evapore.</w:t>
      </w:r>
    </w:p>
    <w:p>
      <w:pPr>
        <w:pBdr>
          <w:bottom w:val="single" w:color="2E5395" w:sz="6" w:space="4"/>
        </w:pBdr>
        <w:spacing w:after="140" w:before="320"/>
      </w:pPr>
      <w:r>
        <w:rPr>
          <w:b/>
          <w:bCs/>
          <w:color w:val="2E5395"/>
          <w:sz w:val="24"/>
          <w:szCs w:val="24"/>
        </w:rPr>
        <w:t xml:space="preserve">7. </w:t>
      </w:r>
      <w:r>
        <w:rPr>
          <w:b/>
          <w:bCs/>
          <w:color w:val="1F3864"/>
          <w:sz w:val="24"/>
          <w:szCs w:val="24"/>
        </w:rPr>
        <w:t xml:space="preserve">Contraindicaciones y advertencias</w:t>
      </w:r>
    </w:p>
    <w:p>
      <w:pPr>
        <w:spacing w:after="100" w:before="120"/>
      </w:pPr>
      <w:r>
        <w:rPr>
          <w:b/>
          <w:bCs/>
          <w:i/>
          <w:iCs/>
          <w:color w:val="1F3864"/>
          <w:sz w:val="21"/>
          <w:szCs w:val="21"/>
        </w:rPr>
        <w:t xml:space="preserve">Contraindicaciones</w:t>
      </w:r>
    </w:p>
    <w:p>
      <w:pPr>
        <w:spacing w:after="160" w:line="300"/>
        <w:jc w:val="both"/>
      </w:pPr>
      <w:r>
        <w:rPr>
          <w:color w:val="404040"/>
          <w:sz w:val="21"/>
          <w:szCs w:val="21"/>
        </w:rPr>
        <w:t xml:space="preserve">Evitar el uso del producto si es alérgico a sus componentes. No se recomienda la aplicación directa sobre heridas profundas, ni aplicar en la piel del recién nacido.</w:t>
      </w:r>
    </w:p>
    <w:p>
      <w:pPr>
        <w:spacing w:after="160" w:line="300"/>
        <w:jc w:val="both"/>
      </w:pPr>
      <w:r>
        <w:rPr>
          <w:color w:val="404040"/>
          <w:sz w:val="21"/>
          <w:szCs w:val="21"/>
        </w:rPr>
        <w:t xml:space="preserve">Evitar el contacto con los ojos. Si accidentalmente se produjese dicho contacto, lavar con abundante agua.</w:t>
      </w:r>
    </w:p>
    <w:p>
      <w:pPr>
        <w:spacing w:after="160" w:line="300"/>
        <w:jc w:val="both"/>
      </w:pPr>
      <w:r>
        <w:rPr>
          <w:color w:val="404040"/>
          <w:sz w:val="21"/>
          <w:szCs w:val="21"/>
        </w:rPr>
        <w:t xml:space="preserve">Si los síntomas persisten, consulte a su médico.</w:t>
      </w:r>
    </w:p>
    <w:p>
      <w:pPr>
        <w:spacing w:after="100" w:before="120"/>
      </w:pPr>
      <w:r>
        <w:rPr>
          <w:b/>
          <w:bCs/>
          <w:i/>
          <w:iCs/>
          <w:color w:val="1F3864"/>
          <w:sz w:val="21"/>
          <w:szCs w:val="21"/>
        </w:rPr>
        <w:t xml:space="preserve">Advertencias</w:t>
      </w:r>
    </w:p>
    <w:p>
      <w:pPr>
        <w:spacing w:after="160" w:line="300"/>
        <w:jc w:val="both"/>
      </w:pPr>
      <w:r>
        <w:rPr>
          <w:color w:val="404040"/>
          <w:sz w:val="21"/>
          <w:szCs w:val="21"/>
        </w:rPr>
        <w:t xml:space="preserve">En caso de embarazo y lactancia, no se han reportado casos. En pacientes geriátricos y pediátricos, no se han reportado casos.</w:t>
      </w:r>
    </w:p>
    <w:p>
      <w:pPr>
        <w:spacing w:after="160" w:line="300"/>
        <w:jc w:val="both"/>
      </w:pPr>
      <w:r>
        <w:rPr>
          <w:color w:val="404040"/>
          <w:sz w:val="21"/>
          <w:szCs w:val="21"/>
        </w:rPr>
        <w:t xml:space="preserve">En cuanto a la operación de maquinaria, la conducción de vehículos y la sobredosificación, no se tiene información, ya que es un producto de uso tópico y externo.</w:t>
      </w:r>
    </w:p>
    <w:p>
      <w:pPr>
        <w:pBdr>
          <w:bottom w:val="single" w:color="2E5395" w:sz="6" w:space="4"/>
        </w:pBdr>
        <w:spacing w:after="140" w:before="320"/>
      </w:pPr>
      <w:r>
        <w:rPr>
          <w:b/>
          <w:bCs/>
          <w:color w:val="2E5395"/>
          <w:sz w:val="24"/>
          <w:szCs w:val="24"/>
        </w:rPr>
        <w:t xml:space="preserve">8. </w:t>
      </w:r>
      <w:r>
        <w:rPr>
          <w:b/>
          <w:bCs/>
          <w:color w:val="1F3864"/>
          <w:sz w:val="24"/>
          <w:szCs w:val="24"/>
        </w:rPr>
        <w:t xml:space="preserve">Reacciones adversas</w:t>
      </w:r>
    </w:p>
    <w:p>
      <w:pPr>
        <w:spacing w:after="160" w:line="300"/>
        <w:jc w:val="both"/>
      </w:pPr>
      <w:r>
        <w:rPr>
          <w:color w:val="404040"/>
          <w:sz w:val="21"/>
          <w:szCs w:val="21"/>
        </w:rPr>
        <w:t xml:space="preserve">En muy raros casos, ardor o picor en la zona de aplicación.</w:t>
      </w:r>
    </w:p>
    <w:p>
      <w:pPr>
        <w:pBdr>
          <w:bottom w:val="single" w:color="2E5395" w:sz="6" w:space="4"/>
        </w:pBdr>
        <w:spacing w:after="140" w:before="320"/>
      </w:pPr>
      <w:r>
        <w:rPr>
          <w:b/>
          <w:bCs/>
          <w:color w:val="2E5395"/>
          <w:sz w:val="24"/>
          <w:szCs w:val="24"/>
        </w:rPr>
        <w:t xml:space="preserve">9. </w:t>
      </w:r>
      <w:r>
        <w:rPr>
          <w:b/>
          <w:bCs/>
          <w:color w:val="1F3864"/>
          <w:sz w:val="24"/>
          <w:szCs w:val="24"/>
        </w:rPr>
        <w:t xml:space="preserve">Interacciones medicamentosas</w:t>
      </w:r>
    </w:p>
    <w:p>
      <w:pPr>
        <w:spacing w:after="160" w:line="300"/>
        <w:jc w:val="both"/>
      </w:pPr>
      <w:r>
        <w:rPr>
          <w:color w:val="404040"/>
          <w:sz w:val="21"/>
          <w:szCs w:val="21"/>
        </w:rPr>
        <w:t xml:space="preserve">No se han descrito interacciones medicamentosas y/o con alimentos de Gel alcohol antiséptico 70%.</w:t>
      </w:r>
    </w:p>
    <w:p>
      <w:pPr>
        <w:pBdr>
          <w:bottom w:val="single" w:color="2E5395" w:sz="6" w:space="4"/>
        </w:pBdr>
        <w:spacing w:after="140" w:before="320"/>
      </w:pPr>
      <w:r>
        <w:rPr>
          <w:b/>
          <w:bCs/>
          <w:color w:val="2E5395"/>
          <w:sz w:val="24"/>
          <w:szCs w:val="24"/>
        </w:rPr>
        <w:t xml:space="preserve">10. </w:t>
      </w:r>
      <w:r>
        <w:rPr>
          <w:b/>
          <w:bCs/>
          <w:color w:val="1F3864"/>
          <w:sz w:val="24"/>
          <w:szCs w:val="24"/>
        </w:rPr>
        <w:t xml:space="preserve">Conservación</w:t>
      </w:r>
    </w:p>
    <w:p>
      <w:pPr>
        <w:spacing w:after="160" w:line="300"/>
        <w:jc w:val="both"/>
      </w:pPr>
      <w:r>
        <w:rPr>
          <w:color w:val="404040"/>
          <w:sz w:val="21"/>
          <w:szCs w:val="21"/>
        </w:rPr>
        <w:t xml:space="preserve">«Todo medicamento debe conservarse fuera del alcance de los niños». Este medicamento no requiere condiciones especiales de conservación. No utilizar después de la fecha de caducidad que aparece en el envase (F.V.). Conservar a una temperatura no mayor a 30 °C y proteger de la luz y la humedad.</w:t>
      </w:r>
    </w:p>
    <w:p>
      <w:pPr>
        <w:pBdr>
          <w:bottom w:val="single" w:color="2E5395" w:sz="6" w:space="4"/>
        </w:pBdr>
        <w:spacing w:after="140" w:before="320"/>
      </w:pPr>
      <w:r>
        <w:rPr>
          <w:b/>
          <w:bCs/>
          <w:color w:val="2E5395"/>
          <w:sz w:val="24"/>
          <w:szCs w:val="24"/>
        </w:rPr>
        <w:t xml:space="preserve">11. </w:t>
      </w:r>
      <w:r>
        <w:rPr>
          <w:b/>
          <w:bCs/>
          <w:color w:val="1F3864"/>
          <w:sz w:val="24"/>
          <w:szCs w:val="24"/>
        </w:rPr>
        <w:t xml:space="preserve">Nombre y dirección del fabricante</w:t>
      </w:r>
    </w:p>
    <w:p>
      <w:pPr>
        <w:spacing w:after="160" w:line="300"/>
        <w:jc w:val="both"/>
      </w:pPr>
      <w:r>
        <w:rPr>
          <w:color w:val="404040"/>
          <w:sz w:val="21"/>
          <w:szCs w:val="21"/>
        </w:rPr>
        <w:t xml:space="preserve">Gel alcohol antiséptico 70% es fabricado por Laboratorios Paracelso Cía. Ltda., Km 6 camino a Racar, frente a la Mutualista Azuay 2.</w:t>
      </w:r>
    </w:p>
    <w:p>
      <w:pPr>
        <w:pBdr>
          <w:bottom w:val="single" w:color="2E5395" w:sz="6" w:space="4"/>
        </w:pBdr>
        <w:spacing w:after="140" w:before="320"/>
      </w:pPr>
      <w:r>
        <w:rPr>
          <w:b/>
          <w:bCs/>
          <w:color w:val="2E5395"/>
          <w:sz w:val="24"/>
          <w:szCs w:val="24"/>
        </w:rPr>
        <w:t xml:space="preserve">12. </w:t>
      </w:r>
      <w:r>
        <w:rPr>
          <w:b/>
          <w:bCs/>
          <w:color w:val="1F3864"/>
          <w:sz w:val="24"/>
          <w:szCs w:val="24"/>
        </w:rPr>
        <w:t xml:space="preserve">Vía de administración</w:t>
      </w:r>
    </w:p>
    <w:p>
      <w:pPr>
        <w:spacing w:after="160" w:line="300"/>
        <w:jc w:val="both"/>
      </w:pPr>
      <w:r>
        <w:rPr>
          <w:color w:val="404040"/>
          <w:sz w:val="21"/>
          <w:szCs w:val="21"/>
        </w:rPr>
        <w:t xml:space="preserve">Uso externo y uso tópico.</w:t>
      </w:r>
    </w:p>
    <w:p>
      <w:pPr>
        <w:pBdr>
          <w:top w:val="single" w:color="2E5395" w:sz="6" w:space="8"/>
        </w:pBdr>
        <w:spacing w:before="300"/>
        <w:jc w:val="center"/>
      </w:pPr>
      <w:r>
        <w:rPr>
          <w:b/>
          <w:bCs/>
          <w:color w:val="1F3864"/>
          <w:sz w:val="21"/>
          <w:szCs w:val="21"/>
        </w:rPr>
        <w:t xml:space="preserve">Reg. San: 2594-MEN-0320</w:t>
      </w:r>
    </w:p>
    <w:sectPr>
      <w:headerReference w:type="default" r:id="rId7"/>
      <w:footerReference w:type="default" r:id="rId8"/>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jc w:val="center"/>
    </w:pPr>
    <w:r>
      <w:rPr>
        <w:color w:val="808080"/>
        <w:sz w:val="16"/>
        <w:szCs w:val="16"/>
      </w:rPr>
      <w:t xml:space="preserve">Laboratorios Paracelso Cía. Ltda.  |  Reg. San: 2594-MEN-0320</w:t>
    </w:r>
    <w:r>
      <w:rPr>
        <w:color w:val="808080"/>
        <w:sz w:val="16"/>
        <w:szCs w:val="16"/>
      </w:rPr>
      <w:t xml:space="preserve">        Página </w:t>
    </w:r>
    <w:r>
      <w:rPr>
        <w:color w:val="808080"/>
        <w:sz w:val="16"/>
        <w:szCs w:val="16"/>
      </w:rPr>
      <w:fldChar w:fldCharType="begin"/>
      <w:instrText xml:space="preserve">PAGE</w:instrText>
      <w:fldChar w:fldCharType="separate"/>
      <w:fldChar w:fldCharType="end"/>
    </w:r>
    <w:r>
      <w:rPr>
        <w:color w:val="808080"/>
        <w:sz w:val="16"/>
        <w:szCs w:val="16"/>
      </w:rPr>
      <w:t xml:space="preserve"> de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jc w:val="center"/>
    </w:pPr>
    <w:r>
      <w:drawing>
        <wp:inline distT="0" distB="0" distL="0" distR="0">
          <wp:extent cx="1143000" cy="619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6191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4bf82af22d43699d8268144d7a91ce71de67d3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2026-08-21T02:35:27.590Z</dcterms:created>
  <dcterms:modified xsi:type="dcterms:W3CDTF">2026-08-21T02:35:27.590Z</dcterms:modified>
</cp:coreProperties>
</file>

<file path=docProps/custom.xml><?xml version="1.0" encoding="utf-8"?>
<Properties xmlns="http://schemas.openxmlformats.org/officeDocument/2006/custom-properties" xmlns:vt="http://schemas.openxmlformats.org/officeDocument/2006/docPropsVTypes"/>
</file>